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981E61F" w:rsidR="00BF54FE" w:rsidRPr="00CA022F" w:rsidRDefault="00CA022F" w:rsidP="006C2343">
          <w:pPr>
            <w:pStyle w:val="Tituldatum"/>
            <w:rPr>
              <w:rStyle w:val="Nzevakce"/>
            </w:rPr>
          </w:pPr>
          <w:r w:rsidRPr="00CA022F">
            <w:rPr>
              <w:rStyle w:val="Nzevakce"/>
            </w:rPr>
            <w:t>Oprava osvětlení v </w:t>
          </w:r>
          <w:proofErr w:type="spellStart"/>
          <w:r w:rsidRPr="00CA022F">
            <w:rPr>
              <w:rStyle w:val="Nzevakce"/>
            </w:rPr>
            <w:t>žst</w:t>
          </w:r>
          <w:proofErr w:type="spellEnd"/>
          <w:r w:rsidRPr="00CA022F">
            <w:rPr>
              <w:rStyle w:val="Nzevakce"/>
            </w:rPr>
            <w:t>. Červenka</w:t>
          </w:r>
        </w:p>
      </w:sdtContent>
    </w:sdt>
    <w:p w14:paraId="6D99332D" w14:textId="77777777" w:rsidR="00BF54FE" w:rsidRPr="00CA022F" w:rsidRDefault="00BF54FE" w:rsidP="006C2343">
      <w:pPr>
        <w:pStyle w:val="Tituldatum"/>
      </w:pPr>
    </w:p>
    <w:p w14:paraId="294D42DB" w14:textId="77777777" w:rsidR="009226C1" w:rsidRPr="00CA022F" w:rsidRDefault="009226C1" w:rsidP="006C2343">
      <w:pPr>
        <w:pStyle w:val="Tituldatum"/>
      </w:pPr>
    </w:p>
    <w:p w14:paraId="140A88A1" w14:textId="77777777" w:rsidR="00DA1C67" w:rsidRPr="00CA022F" w:rsidRDefault="00DA1C67" w:rsidP="006C2343">
      <w:pPr>
        <w:pStyle w:val="Tituldatum"/>
      </w:pPr>
    </w:p>
    <w:p w14:paraId="73283D63" w14:textId="77777777" w:rsidR="00DA1C67" w:rsidRPr="00CA022F" w:rsidRDefault="00DA1C67" w:rsidP="006C2343">
      <w:pPr>
        <w:pStyle w:val="Tituldatum"/>
      </w:pPr>
    </w:p>
    <w:p w14:paraId="69C7E1F1" w14:textId="77777777" w:rsidR="003B111D" w:rsidRPr="00CA022F" w:rsidRDefault="003B111D" w:rsidP="006C2343">
      <w:pPr>
        <w:pStyle w:val="Tituldatum"/>
      </w:pPr>
    </w:p>
    <w:p w14:paraId="3433D8CE" w14:textId="1E99D33A" w:rsidR="00826B7B" w:rsidRPr="006C2343" w:rsidRDefault="006C2343" w:rsidP="006C2343">
      <w:pPr>
        <w:pStyle w:val="Tituldatum"/>
      </w:pPr>
      <w:r w:rsidRPr="00CA022F">
        <w:t xml:space="preserve">Datum vydání: </w:t>
      </w:r>
      <w:r w:rsidRPr="00CA022F">
        <w:tab/>
      </w:r>
      <w:r w:rsidR="00CA022F" w:rsidRPr="00CA022F">
        <w:t>24</w:t>
      </w:r>
      <w:r w:rsidR="00C56FB9" w:rsidRPr="00CA022F">
        <w:t>.</w:t>
      </w:r>
      <w:r w:rsidR="00BC6CFB" w:rsidRPr="00CA022F">
        <w:t xml:space="preserve"> </w:t>
      </w:r>
      <w:r w:rsidR="00CA022F" w:rsidRPr="00CA022F">
        <w:t>2</w:t>
      </w:r>
      <w:r w:rsidR="00C56FB9" w:rsidRPr="00CA022F">
        <w:t>.</w:t>
      </w:r>
      <w:r w:rsidR="00BC6CFB" w:rsidRPr="00CA022F">
        <w:t xml:space="preserve"> </w:t>
      </w:r>
      <w:r w:rsidR="00C56FB9" w:rsidRPr="00CA022F">
        <w:t>202</w:t>
      </w:r>
      <w:r w:rsidR="00CA022F" w:rsidRPr="00CA022F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C10405D" w14:textId="0F79389B" w:rsidR="00D7660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127572" w:history="1">
        <w:r w:rsidR="00D7660D" w:rsidRPr="00FE2206">
          <w:rPr>
            <w:rStyle w:val="Hypertextovodkaz"/>
          </w:rPr>
          <w:t>SEZNAM ZKRATEK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_Toc128127572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 w:rsidR="0053506C">
          <w:rPr>
            <w:noProof/>
            <w:webHidden/>
          </w:rPr>
          <w:t>2</w:t>
        </w:r>
        <w:r w:rsidR="00D7660D">
          <w:rPr>
            <w:noProof/>
            <w:webHidden/>
          </w:rPr>
          <w:fldChar w:fldCharType="end"/>
        </w:r>
      </w:hyperlink>
    </w:p>
    <w:p w14:paraId="46822366" w14:textId="3453CEC7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73" w:history="1">
        <w:r w:rsidR="00D7660D" w:rsidRPr="00FE2206">
          <w:rPr>
            <w:rStyle w:val="Hypertextovodkaz"/>
          </w:rPr>
          <w:t>Pojmy a definice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_Toc128127573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7660D">
          <w:rPr>
            <w:noProof/>
            <w:webHidden/>
          </w:rPr>
          <w:fldChar w:fldCharType="end"/>
        </w:r>
      </w:hyperlink>
    </w:p>
    <w:p w14:paraId="0994E463" w14:textId="3E0C4D4A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74" w:history="1">
        <w:r w:rsidR="00D7660D" w:rsidRPr="00FE2206">
          <w:rPr>
            <w:rStyle w:val="Hypertextovodkaz"/>
          </w:rPr>
          <w:t>1.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SPECIFIKACE PŘEDMĚTU DÍLA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_Toc128127574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300A65C2" w14:textId="00F0B0C7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75" w:history="1">
        <w:r w:rsidR="00D7660D" w:rsidRPr="00FE2206">
          <w:rPr>
            <w:rStyle w:val="Hypertextovodkaz"/>
            <w:rFonts w:asciiTheme="majorHAnsi" w:hAnsiTheme="majorHAnsi"/>
          </w:rPr>
          <w:t>1.1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Účel a rozsah předmětu Díla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_Toc128127575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19EE9B5F" w14:textId="0153A148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76" w:history="1">
        <w:r w:rsidR="00D7660D" w:rsidRPr="00FE2206">
          <w:rPr>
            <w:rStyle w:val="Hypertextovodkaz"/>
            <w:rFonts w:asciiTheme="majorHAnsi" w:hAnsiTheme="majorHAnsi"/>
          </w:rPr>
          <w:t>1.2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Umístění stavby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_Toc128127576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71CB4175" w14:textId="10B6A5CB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77" w:history="1">
        <w:r w:rsidR="00D7660D" w:rsidRPr="00FE2206">
          <w:rPr>
            <w:rStyle w:val="Hypertextovodkaz"/>
          </w:rPr>
          <w:t>2.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PŘEHLED VÝCHOZÍCH PODKLADŮ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_Toc128127577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1D9B1D51" w14:textId="76AA9CB1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78" w:history="1">
        <w:r w:rsidR="00D7660D" w:rsidRPr="00FE2206">
          <w:rPr>
            <w:rStyle w:val="Hypertextovodkaz"/>
            <w:rFonts w:asciiTheme="majorHAnsi" w:hAnsiTheme="majorHAnsi"/>
          </w:rPr>
          <w:t>2.1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Projektová dokumentace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_Toc128127578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62C070FC" w14:textId="1FF5CE2C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79" w:history="1">
        <w:r w:rsidR="00D7660D" w:rsidRPr="00FE2206">
          <w:rPr>
            <w:rStyle w:val="Hypertextovodkaz"/>
            <w:rFonts w:asciiTheme="majorHAnsi" w:hAnsiTheme="majorHAnsi"/>
          </w:rPr>
          <w:t>2.2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Související dokumentace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_Toc128127579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0BBB551B" w14:textId="440BA0AD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80" w:history="1">
        <w:r w:rsidR="00D7660D" w:rsidRPr="00FE2206">
          <w:rPr>
            <w:rStyle w:val="Hypertextovodkaz"/>
          </w:rPr>
          <w:t>3.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KOORDINACE S JINÝMI STAVBAMI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_Toc128127580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7660D">
          <w:rPr>
            <w:noProof/>
            <w:webHidden/>
          </w:rPr>
          <w:fldChar w:fldCharType="end"/>
        </w:r>
      </w:hyperlink>
    </w:p>
    <w:p w14:paraId="2CBCB351" w14:textId="0B88E7EF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81" w:history="1">
        <w:r w:rsidR="00D7660D" w:rsidRPr="00FE2206">
          <w:rPr>
            <w:rStyle w:val="Hypertextovodkaz"/>
          </w:rPr>
          <w:t>4.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Zvláštní TECHNICKÉ podmímky a požadavky na PROVEDENÍ DÍLA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_Toc128127581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7660D">
          <w:rPr>
            <w:noProof/>
            <w:webHidden/>
          </w:rPr>
          <w:fldChar w:fldCharType="end"/>
        </w:r>
      </w:hyperlink>
    </w:p>
    <w:p w14:paraId="5E380157" w14:textId="2589CCEB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2" w:history="1">
        <w:r w:rsidR="00D7660D" w:rsidRPr="00FE2206">
          <w:rPr>
            <w:rStyle w:val="Hypertextovodkaz"/>
            <w:rFonts w:asciiTheme="majorHAnsi" w:hAnsiTheme="majorHAnsi"/>
          </w:rPr>
          <w:t>4.1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Všeobecně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_Toc128127582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7660D">
          <w:rPr>
            <w:noProof/>
            <w:webHidden/>
          </w:rPr>
          <w:fldChar w:fldCharType="end"/>
        </w:r>
      </w:hyperlink>
    </w:p>
    <w:p w14:paraId="25985B6C" w14:textId="6C14A9EE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3" w:history="1">
        <w:r w:rsidR="00D7660D" w:rsidRPr="00FE2206">
          <w:rPr>
            <w:rStyle w:val="Hypertextovodkaz"/>
            <w:rFonts w:asciiTheme="majorHAnsi" w:hAnsiTheme="majorHAnsi"/>
          </w:rPr>
          <w:t>4.2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Zeměměřická činnost zhotovitele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_Toc128127583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7660D">
          <w:rPr>
            <w:noProof/>
            <w:webHidden/>
          </w:rPr>
          <w:fldChar w:fldCharType="end"/>
        </w:r>
      </w:hyperlink>
    </w:p>
    <w:p w14:paraId="60F7F887" w14:textId="7D0DFEA3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4" w:history="1">
        <w:r w:rsidR="00D7660D" w:rsidRPr="00FE2206">
          <w:rPr>
            <w:rStyle w:val="Hypertextovodkaz"/>
            <w:rFonts w:asciiTheme="majorHAnsi" w:hAnsiTheme="majorHAnsi"/>
          </w:rPr>
          <w:t>4.3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Doklady předkládané zhotovitelem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_Toc128127584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7660D">
          <w:rPr>
            <w:noProof/>
            <w:webHidden/>
          </w:rPr>
          <w:fldChar w:fldCharType="end"/>
        </w:r>
      </w:hyperlink>
    </w:p>
    <w:p w14:paraId="24063906" w14:textId="677D7260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5" w:history="1">
        <w:r w:rsidR="00D7660D" w:rsidRPr="00FE2206">
          <w:rPr>
            <w:rStyle w:val="Hypertextovodkaz"/>
            <w:rFonts w:asciiTheme="majorHAnsi" w:hAnsiTheme="majorHAnsi"/>
          </w:rPr>
          <w:t>4.4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Dokumentace zhotovitele pro stavbu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_Toc128127585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7660D">
          <w:rPr>
            <w:noProof/>
            <w:webHidden/>
          </w:rPr>
          <w:fldChar w:fldCharType="end"/>
        </w:r>
      </w:hyperlink>
    </w:p>
    <w:p w14:paraId="1DC656D3" w14:textId="4B1E691A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6" w:history="1">
        <w:r w:rsidR="00D7660D" w:rsidRPr="00FE2206">
          <w:rPr>
            <w:rStyle w:val="Hypertextovodkaz"/>
            <w:rFonts w:asciiTheme="majorHAnsi" w:hAnsiTheme="majorHAnsi"/>
          </w:rPr>
          <w:t>4.5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Dokumentace skutečného provedení stavby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_Toc128127586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7660D">
          <w:rPr>
            <w:noProof/>
            <w:webHidden/>
          </w:rPr>
          <w:fldChar w:fldCharType="end"/>
        </w:r>
      </w:hyperlink>
    </w:p>
    <w:p w14:paraId="5CFDA69B" w14:textId="6F009CA8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7" w:history="1">
        <w:r w:rsidR="00D7660D" w:rsidRPr="00FE2206">
          <w:rPr>
            <w:rStyle w:val="Hypertextovodkaz"/>
            <w:rFonts w:asciiTheme="majorHAnsi" w:hAnsiTheme="majorHAnsi"/>
          </w:rPr>
          <w:t>4.6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Silnoproudá technologie včetně DŘT, trakční a energetická zařízení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_Toc128127587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7660D">
          <w:rPr>
            <w:noProof/>
            <w:webHidden/>
          </w:rPr>
          <w:fldChar w:fldCharType="end"/>
        </w:r>
      </w:hyperlink>
    </w:p>
    <w:p w14:paraId="09ED6CDE" w14:textId="74600DDD" w:rsidR="00D7660D" w:rsidRDefault="005350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7588" w:history="1">
        <w:r w:rsidR="00D7660D" w:rsidRPr="00FE2206">
          <w:rPr>
            <w:rStyle w:val="Hypertextovodkaz"/>
            <w:rFonts w:asciiTheme="majorHAnsi" w:hAnsiTheme="majorHAnsi"/>
          </w:rPr>
          <w:t>4.7</w:t>
        </w:r>
        <w:r w:rsidR="00D7660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Životní prostředí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_Toc128127588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7660D">
          <w:rPr>
            <w:noProof/>
            <w:webHidden/>
          </w:rPr>
          <w:fldChar w:fldCharType="end"/>
        </w:r>
      </w:hyperlink>
    </w:p>
    <w:p w14:paraId="74762AFB" w14:textId="60228CDB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89" w:history="1">
        <w:r w:rsidR="00D7660D" w:rsidRPr="00FE2206">
          <w:rPr>
            <w:rStyle w:val="Hypertextovodkaz"/>
          </w:rPr>
          <w:t>5.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ORGANIZACE VÝSTAVBY, VÝLUKY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_Toc128127589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7660D">
          <w:rPr>
            <w:noProof/>
            <w:webHidden/>
          </w:rPr>
          <w:fldChar w:fldCharType="end"/>
        </w:r>
      </w:hyperlink>
    </w:p>
    <w:p w14:paraId="745BD112" w14:textId="127E895A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90" w:history="1">
        <w:r w:rsidR="00D7660D" w:rsidRPr="00FE2206">
          <w:rPr>
            <w:rStyle w:val="Hypertextovodkaz"/>
          </w:rPr>
          <w:t>6.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SOUVISEJÍCÍ DOKUMENTY A PŘEDPISY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_Toc128127590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7660D">
          <w:rPr>
            <w:noProof/>
            <w:webHidden/>
          </w:rPr>
          <w:fldChar w:fldCharType="end"/>
        </w:r>
      </w:hyperlink>
    </w:p>
    <w:p w14:paraId="0170A358" w14:textId="6CBC8877" w:rsidR="00D7660D" w:rsidRDefault="005350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7591" w:history="1">
        <w:r w:rsidR="00D7660D" w:rsidRPr="00FE2206">
          <w:rPr>
            <w:rStyle w:val="Hypertextovodkaz"/>
          </w:rPr>
          <w:t>7.</w:t>
        </w:r>
        <w:r w:rsidR="00D7660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660D" w:rsidRPr="00FE2206">
          <w:rPr>
            <w:rStyle w:val="Hypertextovodkaz"/>
          </w:rPr>
          <w:t>PŘÍLOHY</w:t>
        </w:r>
        <w:r w:rsidR="00D7660D">
          <w:rPr>
            <w:noProof/>
            <w:webHidden/>
          </w:rPr>
          <w:tab/>
        </w:r>
        <w:r w:rsidR="00D7660D">
          <w:rPr>
            <w:noProof/>
            <w:webHidden/>
          </w:rPr>
          <w:fldChar w:fldCharType="begin"/>
        </w:r>
        <w:r w:rsidR="00D7660D">
          <w:rPr>
            <w:noProof/>
            <w:webHidden/>
          </w:rPr>
          <w:instrText xml:space="preserve"> PAGEREF _Toc128127591 \h </w:instrText>
        </w:r>
        <w:r w:rsidR="00D7660D">
          <w:rPr>
            <w:noProof/>
            <w:webHidden/>
          </w:rPr>
        </w:r>
        <w:r w:rsidR="00D7660D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7660D">
          <w:rPr>
            <w:noProof/>
            <w:webHidden/>
          </w:rPr>
          <w:fldChar w:fldCharType="end"/>
        </w:r>
      </w:hyperlink>
    </w:p>
    <w:p w14:paraId="30D8D7FD" w14:textId="786C4141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12757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127573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CA02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CA02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CA022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812757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8127575"/>
      <w:r>
        <w:t>Účel a rozsah předmětu Díla</w:t>
      </w:r>
      <w:bookmarkEnd w:id="10"/>
      <w:bookmarkEnd w:id="11"/>
    </w:p>
    <w:p w14:paraId="144B4FC2" w14:textId="6E9903E1" w:rsidR="00DF7BAA" w:rsidRPr="003F76DF" w:rsidRDefault="00DF7BAA" w:rsidP="00DF7BAA">
      <w:pPr>
        <w:pStyle w:val="Text2-1"/>
      </w:pPr>
      <w:r w:rsidRPr="003F76DF">
        <w:t>Předmětem díla je zhotovení stavby „</w:t>
      </w:r>
      <w:r w:rsidR="00CA022F" w:rsidRPr="003F76DF">
        <w:t>Oprava osvětlení v </w:t>
      </w:r>
      <w:proofErr w:type="spellStart"/>
      <w:r w:rsidR="00CA022F" w:rsidRPr="003F76DF">
        <w:t>žst</w:t>
      </w:r>
      <w:proofErr w:type="spellEnd"/>
      <w:r w:rsidR="00CA022F" w:rsidRPr="003F76DF">
        <w:t xml:space="preserve"> Červenka</w:t>
      </w:r>
      <w:r w:rsidRPr="003F76DF">
        <w:t>“</w:t>
      </w:r>
      <w:r w:rsidR="00EC4FA5" w:rsidRPr="003F76DF">
        <w:t>,</w:t>
      </w:r>
      <w:r w:rsidRPr="003F76DF">
        <w:t xml:space="preserve"> jejímž cílem je </w:t>
      </w:r>
      <w:r w:rsidR="00CA022F" w:rsidRPr="003F76DF">
        <w:t>náprava nevyhovujícího technického stavu svítidel a připojovací kabeláže na hranici životnosti.</w:t>
      </w:r>
    </w:p>
    <w:p w14:paraId="29AAB0CD" w14:textId="11EE7E65" w:rsidR="00E70AB8" w:rsidRPr="003F76DF" w:rsidRDefault="00A16611" w:rsidP="00F52698">
      <w:pPr>
        <w:pStyle w:val="Text2-1"/>
      </w:pPr>
      <w:r w:rsidRPr="003F76DF">
        <w:t>Rozsah Díla „</w:t>
      </w:r>
      <w:r w:rsidR="00CA022F" w:rsidRPr="003F76DF">
        <w:t>Opravy osvětlení v </w:t>
      </w:r>
      <w:proofErr w:type="spellStart"/>
      <w:r w:rsidR="00CA022F" w:rsidRPr="003F76DF">
        <w:t>žst</w:t>
      </w:r>
      <w:proofErr w:type="spellEnd"/>
      <w:r w:rsidR="00CA022F" w:rsidRPr="003F76DF">
        <w:t xml:space="preserve"> Červenka</w:t>
      </w:r>
      <w:r w:rsidRPr="003F76DF">
        <w:t xml:space="preserve">“ je </w:t>
      </w:r>
      <w:r w:rsidR="00CA022F" w:rsidRPr="003F76DF">
        <w:t xml:space="preserve">výměna </w:t>
      </w:r>
      <w:r w:rsidR="003F76DF" w:rsidRPr="003F76DF">
        <w:t xml:space="preserve">všech </w:t>
      </w:r>
      <w:r w:rsidR="00CA022F" w:rsidRPr="003F76DF">
        <w:t>svítidel</w:t>
      </w:r>
      <w:r w:rsidR="003F76DF" w:rsidRPr="003F76DF">
        <w:t xml:space="preserve"> ve stanici</w:t>
      </w:r>
      <w:r w:rsidR="00CA022F" w:rsidRPr="003F76DF">
        <w:t xml:space="preserve"> v původ</w:t>
      </w:r>
      <w:r w:rsidR="003F76DF" w:rsidRPr="003F76DF">
        <w:t>ním umístění mimo svítidel ve výpravní budově, výměna kabeláže a elektrického příslušenství osvětlení</w:t>
      </w:r>
      <w:r w:rsidR="003F76DF">
        <w:t xml:space="preserve"> </w:t>
      </w:r>
      <w:r w:rsidR="003F76DF" w:rsidRPr="003F76DF">
        <w:t>v podchodu a na trakčních konstrukcích</w:t>
      </w:r>
      <w:r w:rsidR="003F76DF">
        <w:t xml:space="preserve"> včetně vypracování dokumentace skutečného provedení</w:t>
      </w:r>
      <w:r w:rsidR="00CA022F" w:rsidRPr="003F76DF">
        <w:t>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021D2812" w:rsidR="00CE2A6B" w:rsidRPr="003F76DF" w:rsidRDefault="00CE2A6B" w:rsidP="00CE2A6B">
      <w:pPr>
        <w:pStyle w:val="Text2-1"/>
        <w:numPr>
          <w:ilvl w:val="0"/>
          <w:numId w:val="0"/>
        </w:numPr>
        <w:ind w:left="737"/>
      </w:pPr>
      <w:r w:rsidRPr="003F76DF">
        <w:t>SO</w:t>
      </w:r>
      <w:r w:rsidR="003F76DF" w:rsidRPr="003F76DF">
        <w:t xml:space="preserve"> 01 – Oprava osvětlení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8127576"/>
      <w:r>
        <w:t>Umístění stavby</w:t>
      </w:r>
      <w:bookmarkEnd w:id="12"/>
      <w:bookmarkEnd w:id="13"/>
    </w:p>
    <w:p w14:paraId="4DFE4759" w14:textId="63A75E11" w:rsidR="006972D4" w:rsidRDefault="00DF7BAA" w:rsidP="005A6C0C">
      <w:pPr>
        <w:pStyle w:val="Text2-1"/>
      </w:pPr>
      <w:r>
        <w:t xml:space="preserve">Stavba bude probíhat na trati </w:t>
      </w:r>
      <w:r w:rsidR="003F76DF">
        <w:t xml:space="preserve">Přerov </w:t>
      </w:r>
      <w:r w:rsidR="00533149">
        <w:t>–</w:t>
      </w:r>
      <w:r w:rsidR="003F76DF">
        <w:t xml:space="preserve"> </w:t>
      </w:r>
      <w:r w:rsidR="00533149">
        <w:t>Česká Třebová</w:t>
      </w:r>
    </w:p>
    <w:p w14:paraId="46BB6011" w14:textId="2A25D87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533149">
        <w:t xml:space="preserve"> Olomoucký</w:t>
      </w:r>
    </w:p>
    <w:p w14:paraId="50C118F7" w14:textId="0D78AA4F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8E6D41">
        <w:t>Olomouc</w:t>
      </w:r>
    </w:p>
    <w:p w14:paraId="2BC5441F" w14:textId="2250299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</w:t>
      </w:r>
      <w:r w:rsidRPr="00533149">
        <w:t xml:space="preserve">: </w:t>
      </w:r>
      <w:r w:rsidR="00533149">
        <w:t>Červenka</w:t>
      </w:r>
    </w:p>
    <w:p w14:paraId="03957CE5" w14:textId="474C2097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533149">
        <w:t xml:space="preserve"> 190102 Moravičany (mimo) – Červenka (mimo)</w:t>
      </w:r>
    </w:p>
    <w:p w14:paraId="41E149BB" w14:textId="446CDAAB" w:rsidR="00533149" w:rsidRDefault="00533149" w:rsidP="00517E55">
      <w:pPr>
        <w:pStyle w:val="Text2-1"/>
        <w:numPr>
          <w:ilvl w:val="0"/>
          <w:numId w:val="0"/>
        </w:numPr>
        <w:ind w:firstLine="709"/>
      </w:pPr>
      <w:r>
        <w:tab/>
        <w:t>190122 Červenka (mimo) – Štěpánov (mimo)</w:t>
      </w:r>
    </w:p>
    <w:p w14:paraId="1F0DA405" w14:textId="4D8A4FD5" w:rsidR="00533149" w:rsidRDefault="00533149" w:rsidP="00517E55">
      <w:pPr>
        <w:pStyle w:val="Text2-1"/>
        <w:numPr>
          <w:ilvl w:val="0"/>
          <w:numId w:val="0"/>
        </w:numPr>
        <w:ind w:firstLine="709"/>
      </w:pPr>
      <w:r>
        <w:tab/>
        <w:t xml:space="preserve">1901K1 </w:t>
      </w:r>
      <w:proofErr w:type="spellStart"/>
      <w:r>
        <w:t>žst</w:t>
      </w:r>
      <w:proofErr w:type="spellEnd"/>
      <w:r>
        <w:t xml:space="preserve"> Červenka</w:t>
      </w:r>
    </w:p>
    <w:p w14:paraId="09F5040D" w14:textId="7D9D74E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533149">
        <w:t>Červenka</w:t>
      </w:r>
    </w:p>
    <w:p w14:paraId="691293AA" w14:textId="78B81790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>. dotčen</w:t>
      </w:r>
      <w:r w:rsidR="008E6D41">
        <w:t>ých</w:t>
      </w:r>
      <w:r>
        <w:t xml:space="preserve"> pozemk</w:t>
      </w:r>
      <w:r w:rsidR="008E6D41">
        <w:t>ů</w:t>
      </w:r>
      <w:r>
        <w:t xml:space="preserve">: </w:t>
      </w:r>
      <w:r w:rsidR="008E6D41">
        <w:t>1149/8; 1143; 1149/10; 1151/1</w:t>
      </w:r>
    </w:p>
    <w:p w14:paraId="2F0403DD" w14:textId="03ED6453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C63CE0">
        <w:t>TENT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812757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8127578"/>
      <w:r>
        <w:t>Projektová dokumentace</w:t>
      </w:r>
      <w:bookmarkEnd w:id="16"/>
      <w:bookmarkEnd w:id="17"/>
    </w:p>
    <w:p w14:paraId="02BE1DF7" w14:textId="792E6F62" w:rsidR="00615BEC" w:rsidRPr="00F521B7" w:rsidRDefault="0002642A" w:rsidP="0002642A">
      <w:pPr>
        <w:pStyle w:val="Text2-1"/>
      </w:pPr>
      <w:r w:rsidRPr="00F521B7">
        <w:t>Projektová dokumentace na stavbu „</w:t>
      </w:r>
      <w:r w:rsidR="00F521B7" w:rsidRPr="00F521B7">
        <w:t>Oprava osvětlení v </w:t>
      </w:r>
      <w:proofErr w:type="spellStart"/>
      <w:r w:rsidR="00F521B7" w:rsidRPr="00F521B7">
        <w:t>žst</w:t>
      </w:r>
      <w:proofErr w:type="spellEnd"/>
      <w:r w:rsidR="00F521B7" w:rsidRPr="00F521B7">
        <w:t xml:space="preserve"> Červenka</w:t>
      </w:r>
      <w:r w:rsidRPr="00F521B7">
        <w:t>“, není vyhotovena. Její obsah nahrazuj</w:t>
      </w:r>
      <w:r w:rsidR="00860F4E" w:rsidRPr="00F521B7">
        <w:t>í dokumenty uvedené v</w:t>
      </w:r>
      <w:r w:rsidRPr="00F521B7">
        <w:t xml:space="preserve"> Díl</w:t>
      </w:r>
      <w:r w:rsidR="00860F4E" w:rsidRPr="00F521B7">
        <w:t>u</w:t>
      </w:r>
      <w:r w:rsidRPr="00F521B7">
        <w:t xml:space="preserve"> 3 Zadávací dokumentace</w:t>
      </w:r>
      <w:r w:rsidR="00860F4E" w:rsidRPr="00F521B7">
        <w:t xml:space="preserve">, případně dalších částech Zadávací dokumentace. </w:t>
      </w:r>
      <w:bookmarkStart w:id="18" w:name="_Hlk121215263"/>
    </w:p>
    <w:p w14:paraId="0F2962DA" w14:textId="6A16B6D7" w:rsidR="00D4656A" w:rsidRPr="0053506C" w:rsidRDefault="00DF7BAA" w:rsidP="00F521B7">
      <w:pPr>
        <w:pStyle w:val="Nadpis2-2"/>
      </w:pPr>
      <w:bookmarkStart w:id="19" w:name="_Toc6410434"/>
      <w:bookmarkStart w:id="20" w:name="_Toc128127579"/>
      <w:bookmarkEnd w:id="18"/>
      <w:r w:rsidRPr="0053506C">
        <w:t>Související dokumentace</w:t>
      </w:r>
      <w:bookmarkEnd w:id="19"/>
      <w:bookmarkEnd w:id="20"/>
      <w:r w:rsidR="00D4656A" w:rsidRPr="0053506C">
        <w:t xml:space="preserve"> </w:t>
      </w:r>
    </w:p>
    <w:p w14:paraId="241A176F" w14:textId="0BE56F93" w:rsidR="008170FD" w:rsidRPr="0053506C" w:rsidRDefault="008170FD" w:rsidP="008170FD">
      <w:pPr>
        <w:pStyle w:val="Text2-1"/>
      </w:pPr>
      <w:r w:rsidRPr="0053506C"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8127580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8127581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8127582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F521B7" w:rsidRDefault="004C1240" w:rsidP="007345FE">
      <w:pPr>
        <w:pStyle w:val="Text2-2"/>
        <w:ind w:left="1701" w:hanging="992"/>
      </w:pPr>
      <w:r w:rsidRPr="00F521B7">
        <w:t>ČL 1.11.5.1 TKP, odst. 6 se mění takto:</w:t>
      </w:r>
    </w:p>
    <w:p w14:paraId="2A2ECA97" w14:textId="77777777" w:rsidR="004C1240" w:rsidRPr="00F521B7" w:rsidRDefault="004C1240" w:rsidP="00DE3429">
      <w:pPr>
        <w:pStyle w:val="Text2-2"/>
        <w:numPr>
          <w:ilvl w:val="0"/>
          <w:numId w:val="0"/>
        </w:numPr>
        <w:ind w:left="1701"/>
      </w:pPr>
      <w:r w:rsidRPr="00F521B7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F521B7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F521B7">
        <w:t>kompletní dokumentace stavby v otevřené formě</w:t>
      </w:r>
    </w:p>
    <w:p w14:paraId="19A3DA3F" w14:textId="7E66C78D" w:rsidR="004C1240" w:rsidRPr="00F521B7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F521B7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 w:rsidRPr="00F521B7">
        <w:lastRenderedPageBreak/>
        <w:t>Objednatel se zavazuje zajistit Zhotoviteli právo užívání Staveniště, včetně železniční dopravní cesty, v době, kdy je toho třeba, aby mohl Zhotovitel Dílo dokončit řádně a včas za podmínek</w:t>
      </w:r>
      <w:r>
        <w:t xml:space="preserve">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C63CE0" w:rsidRDefault="00AD75BB" w:rsidP="007345FE">
      <w:pPr>
        <w:pStyle w:val="Text2-2"/>
        <w:ind w:left="1701" w:hanging="992"/>
      </w:pPr>
      <w:r w:rsidRPr="00C63CE0">
        <w:rPr>
          <w:b/>
        </w:rPr>
        <w:t>K činnostem Zhotovitele v rámci plnění SOD</w:t>
      </w:r>
      <w:r w:rsidRPr="00C63CE0">
        <w:t xml:space="preserve"> mimo jiné také patří:</w:t>
      </w:r>
    </w:p>
    <w:p w14:paraId="38582DB3" w14:textId="77777777" w:rsidR="00F60958" w:rsidRPr="00C63CE0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63CE0">
        <w:rPr>
          <w:sz w:val="18"/>
          <w:szCs w:val="18"/>
        </w:rPr>
        <w:t>vydání osvědčení o bezpečnosti podle Prováděcího nařízení komise č. 402/2013</w:t>
      </w:r>
      <w:r w:rsidR="00AA587B" w:rsidRPr="00C63CE0">
        <w:rPr>
          <w:sz w:val="18"/>
          <w:szCs w:val="18"/>
        </w:rPr>
        <w:t xml:space="preserve"> (o společné metodě pro hodnocení a posuzování rizik</w:t>
      </w:r>
      <w:r w:rsidR="00223CF2" w:rsidRPr="00C63CE0">
        <w:rPr>
          <w:sz w:val="18"/>
          <w:szCs w:val="18"/>
        </w:rPr>
        <w:t xml:space="preserve"> </w:t>
      </w:r>
      <w:r w:rsidR="00AA587B" w:rsidRPr="00C63CE0">
        <w:rPr>
          <w:sz w:val="18"/>
          <w:szCs w:val="18"/>
        </w:rPr>
        <w:t>a o zrušení nařízení (ES) č.</w:t>
      </w:r>
      <w:r w:rsidR="00223CF2" w:rsidRPr="00C63CE0">
        <w:rPr>
          <w:sz w:val="18"/>
          <w:szCs w:val="18"/>
        </w:rPr>
        <w:t> 352/2009)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lastRenderedPageBreak/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</w:t>
      </w:r>
      <w:proofErr w:type="spellStart"/>
      <w:r w:rsidRPr="008C4EA5">
        <w:t>zapisovatelném</w:t>
      </w:r>
      <w:proofErr w:type="spellEnd"/>
      <w:r w:rsidRPr="008C4EA5">
        <w:t xml:space="preserve">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provedení); anomálie na kabelové trase (např. změny hloubky, odbočné body) – v případě požadavku správce 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provedení; kabelové rezervy metalických, optických a kombinovaných (hybridních) kabelů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provedení); uložení spojek optických a kombinovaných (hybridních) kabelů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</w:t>
      </w:r>
      <w:r w:rsidRPr="008C4EA5">
        <w:lastRenderedPageBreak/>
        <w:t>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0AC59657" w:rsidR="009F244D" w:rsidRPr="009F244D" w:rsidRDefault="009F244D" w:rsidP="007345FE">
      <w:pPr>
        <w:pStyle w:val="Text2-2"/>
        <w:ind w:left="1701" w:hanging="992"/>
      </w:pPr>
      <w:r w:rsidRPr="00A02AE9">
        <w:t xml:space="preserve">Zhotovitel je v termínu </w:t>
      </w:r>
      <w:r w:rsidR="008C4EA5" w:rsidRPr="00A02AE9">
        <w:t xml:space="preserve">nejpozději ke dni zahájení </w:t>
      </w:r>
      <w:r w:rsidR="00722BEB" w:rsidRPr="00A02AE9">
        <w:t>stavebních</w:t>
      </w:r>
      <w:r w:rsidR="008C4EA5" w:rsidRPr="00A02AE9">
        <w:t xml:space="preserve"> prací</w:t>
      </w:r>
      <w:r w:rsidR="00722BEB" w:rsidRPr="00A02AE9">
        <w:t xml:space="preserve"> (viz bod </w:t>
      </w:r>
      <w:r w:rsidR="00722BEB" w:rsidRPr="0053506C">
        <w:t xml:space="preserve">5.1.1 ZTP) </w:t>
      </w:r>
      <w:r w:rsidRPr="0053506C">
        <w:t xml:space="preserve">povinen písemně oznámit Objednateli (TDS) </w:t>
      </w:r>
      <w:r w:rsidRPr="0053506C">
        <w:rPr>
          <w:b/>
        </w:rPr>
        <w:t>vady a nedostatky v</w:t>
      </w:r>
      <w:r w:rsidR="00A02AE9" w:rsidRPr="0053506C">
        <w:rPr>
          <w:b/>
        </w:rPr>
        <w:t> Zadávací dokumentaci (díl 3 TSS)</w:t>
      </w:r>
      <w:r w:rsidRPr="0053506C">
        <w:t>, u kterých lze oprávněně</w:t>
      </w:r>
      <w:r w:rsidRPr="00A02AE9">
        <w:t xml:space="preserve"> předpokládat, že vlivem stavební činnosti a veškeré činnosti Zhotovitele, spojené s prováděním Díla, </w:t>
      </w:r>
      <w:r w:rsidRPr="00A02AE9">
        <w:rPr>
          <w:b/>
        </w:rPr>
        <w:t>budou mít negativní/škodlivý</w:t>
      </w:r>
      <w:r w:rsidRPr="00A02AE9">
        <w:t xml:space="preserve"> </w:t>
      </w:r>
      <w:r w:rsidRPr="00A02AE9">
        <w:rPr>
          <w:b/>
        </w:rPr>
        <w:t>vliv na životní prostředí</w:t>
      </w:r>
      <w:r w:rsidRPr="00A02AE9">
        <w:t>.</w:t>
      </w:r>
      <w:r w:rsidRPr="009F244D">
        <w:t xml:space="preserve">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422860" w:rsidRDefault="006F687F" w:rsidP="007345FE">
      <w:pPr>
        <w:pStyle w:val="Text2-2"/>
        <w:ind w:left="1701" w:hanging="992"/>
      </w:pPr>
      <w:r w:rsidRPr="00F41411">
        <w:t xml:space="preserve">Zhotovitel se zavazuje zajistit u svých zaměstnanců a zaměstnanců poddodavatelů prokazatelné seznámení s </w:t>
      </w:r>
      <w:r w:rsidRPr="00F41411">
        <w:rPr>
          <w:b/>
        </w:rPr>
        <w:t xml:space="preserve">plánem BOZP </w:t>
      </w:r>
      <w:r w:rsidRPr="00F41411">
        <w:t>Díla (dle zákona č. 309/2006 Sb.</w:t>
      </w:r>
      <w:r w:rsidR="006C44FD" w:rsidRPr="00F41411">
        <w:t xml:space="preserve"> (zákon o zajištění dalších podmínek bezpečnosti a ochrany zdraví při práci))</w:t>
      </w:r>
      <w:r w:rsidRPr="00F41411">
        <w:t xml:space="preserve"> a doložit splnění této povinnosti písemně před předáním Staveniště Zhotoviteli.</w:t>
      </w:r>
      <w:r w:rsidRPr="00422860">
        <w:t xml:space="preserve">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2B4F5335" w:rsidR="00161BD6" w:rsidRPr="0053506C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53506C">
        <w:t>provozu / zkušebního provozu.</w:t>
      </w:r>
    </w:p>
    <w:p w14:paraId="55E40CB2" w14:textId="77777777" w:rsidR="00CB5676" w:rsidRPr="0053506C" w:rsidRDefault="00CB5676" w:rsidP="00CB5676">
      <w:pPr>
        <w:pStyle w:val="Text2-2"/>
        <w:ind w:left="1701" w:hanging="992"/>
      </w:pPr>
      <w:r w:rsidRPr="0053506C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28C7EB1F" w14:textId="7094A455" w:rsidR="00CB5676" w:rsidRPr="0053506C" w:rsidRDefault="00CB5676" w:rsidP="00390555">
      <w:pPr>
        <w:pStyle w:val="Text2-2"/>
        <w:numPr>
          <w:ilvl w:val="4"/>
          <w:numId w:val="40"/>
        </w:numPr>
        <w:ind w:left="2977" w:hanging="1134"/>
      </w:pPr>
      <w:r w:rsidRPr="0053506C">
        <w:t xml:space="preserve">Z důvodu provedení funkčních zkoušek a měření parametrů TV je Zhotovitel povinen ukončit s dostatečným předstihem veškeré práce před plánovaným časem ukončení napěťové výluky TV. Požadovaný čas ukončení prací Zhotovitelem zapíše objednatel do </w:t>
      </w:r>
      <w:r w:rsidR="00390555" w:rsidRPr="0053506C">
        <w:t>„</w:t>
      </w:r>
      <w:r w:rsidRPr="0053506C">
        <w:t>B“ příkazu vydaného pro vedoucího práce Zhotovitele.</w:t>
      </w:r>
    </w:p>
    <w:p w14:paraId="743582FB" w14:textId="15ECF94E" w:rsidR="00CB5676" w:rsidRPr="0053506C" w:rsidRDefault="00CB5676" w:rsidP="00CB5676">
      <w:pPr>
        <w:pStyle w:val="Text2-2"/>
        <w:numPr>
          <w:ilvl w:val="0"/>
          <w:numId w:val="0"/>
        </w:numPr>
        <w:ind w:left="2355"/>
      </w:pPr>
    </w:p>
    <w:p w14:paraId="3F24D212" w14:textId="77777777" w:rsidR="00CB5676" w:rsidRPr="0053506C" w:rsidRDefault="00CB5676" w:rsidP="00CB5676">
      <w:pPr>
        <w:pStyle w:val="Text2-2"/>
        <w:numPr>
          <w:ilvl w:val="0"/>
          <w:numId w:val="0"/>
        </w:numPr>
        <w:ind w:left="2355"/>
      </w:pPr>
    </w:p>
    <w:p w14:paraId="4B970806" w14:textId="1893D1AA" w:rsidR="00CB5676" w:rsidRPr="0053506C" w:rsidRDefault="00CB5676" w:rsidP="00390555">
      <w:pPr>
        <w:pStyle w:val="Text2-2"/>
        <w:numPr>
          <w:ilvl w:val="4"/>
          <w:numId w:val="40"/>
        </w:numPr>
        <w:ind w:left="2977" w:hanging="1134"/>
      </w:pPr>
      <w:r w:rsidRPr="0053506C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5" w:name="_Toc128127583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76ADF567" w:rsidR="00DC55C8" w:rsidRDefault="00DC55C8" w:rsidP="00DC55C8">
      <w:pPr>
        <w:pStyle w:val="Text2-1"/>
      </w:pPr>
      <w:r w:rsidRPr="00DC55C8">
        <w:t>Zhotovitel zažádá jmenovaného ÚOZI (úředně oprávněný ze</w:t>
      </w:r>
      <w:r w:rsidR="00F41411">
        <w:t xml:space="preserve">měměřičský inženýr) Objednatele </w:t>
      </w:r>
      <w:r w:rsidR="0030685D" w:rsidRPr="00376D05">
        <w:t>(Ing. Jiří Jalůvka, telefon +420 724263476, e-mail</w:t>
      </w:r>
      <w:r w:rsidR="0030685D">
        <w:t xml:space="preserve"> </w:t>
      </w:r>
      <w:hyperlink r:id="rId11" w:history="1">
        <w:r w:rsidR="0030685D" w:rsidRPr="00B4334B">
          <w:rPr>
            <w:rStyle w:val="Hypertextovodkaz"/>
            <w:noProof w:val="0"/>
          </w:rPr>
          <w:t>Jaluvka@spravazeleznic.cz</w:t>
        </w:r>
      </w:hyperlink>
      <w:r w:rsidR="0030685D" w:rsidRPr="00376D05">
        <w:t>)</w:t>
      </w:r>
      <w:r w:rsidR="0030685D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7E59A6FB" w14:textId="170721D2" w:rsidR="00DC55C8" w:rsidRPr="00F41411" w:rsidRDefault="00DC55C8" w:rsidP="00F41411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</w:t>
      </w:r>
      <w:r>
        <w:lastRenderedPageBreak/>
        <w:t xml:space="preserve">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28127584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1" w:name="_Toc6410439"/>
      <w:bookmarkStart w:id="42" w:name="_Toc128127585"/>
      <w:r w:rsidRPr="00953A4A">
        <w:t>Dokumentace zhotovitele pro stavbu</w:t>
      </w:r>
      <w:bookmarkEnd w:id="41"/>
      <w:bookmarkEnd w:id="42"/>
    </w:p>
    <w:p w14:paraId="4BA84CF0" w14:textId="7B7CBC51" w:rsidR="00E720EC" w:rsidRPr="00E720EC" w:rsidRDefault="00E720EC" w:rsidP="00F21EDB">
      <w:pPr>
        <w:pStyle w:val="Text2-1"/>
      </w:pPr>
      <w:r w:rsidRPr="00E720EC">
        <w:t>Součástí předmětu díla je i vyhotovení Realizační dokumentace stavby, která v případě potřeby rozpracovává podrobně zadávací dokumentaci (PDPS) dle přílohy č. 4 vyhlášky č. 146/2008 Sb. o rozsahu a obsahu projektové dokumentace dopravních staveb, v platném znění, příslušných TKP Staveb státních drah a směrnice SŽ SM011</w:t>
      </w:r>
      <w:r>
        <w:t xml:space="preserve">. </w:t>
      </w:r>
    </w:p>
    <w:p w14:paraId="109FD0B0" w14:textId="3FCD8D08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3" w:name="_Toc6410440"/>
      <w:bookmarkStart w:id="44" w:name="_Toc128127586"/>
      <w:r w:rsidRPr="006411F1">
        <w:t>Dokumentace skutečného provedení stavby</w:t>
      </w:r>
      <w:bookmarkEnd w:id="43"/>
      <w:bookmarkEnd w:id="44"/>
    </w:p>
    <w:p w14:paraId="75D4363E" w14:textId="43BE4BF0" w:rsidR="006411F1" w:rsidRPr="00C63CE0" w:rsidRDefault="006411F1" w:rsidP="006411F1">
      <w:pPr>
        <w:pStyle w:val="Text2-1"/>
        <w:rPr>
          <w:color w:val="00A1E0"/>
        </w:rPr>
      </w:pPr>
      <w:r w:rsidRPr="00C63CE0">
        <w:t xml:space="preserve">Objednatel požaduje standardní vyhotovení </w:t>
      </w:r>
      <w:r w:rsidR="000E11D6" w:rsidRPr="00C63CE0">
        <w:t>DSPS</w:t>
      </w:r>
      <w:r w:rsidRPr="00C63CE0">
        <w:t xml:space="preserve"> dle TKP.</w:t>
      </w:r>
    </w:p>
    <w:p w14:paraId="00B8E2C3" w14:textId="0ECB3A50" w:rsidR="00470F14" w:rsidRPr="00866404" w:rsidRDefault="00606137" w:rsidP="000E11D6">
      <w:pPr>
        <w:pStyle w:val="Text2-1"/>
        <w:rPr>
          <w:rFonts w:eastAsia="Verdana" w:cs="Times New Roman"/>
        </w:rPr>
      </w:pPr>
      <w:r w:rsidRPr="00866404">
        <w:t xml:space="preserve">Předání DSPS dle oddílu 1.11.5 Kapitoly 1 TKP </w:t>
      </w:r>
      <w:r w:rsidR="00525C0C" w:rsidRPr="00866404">
        <w:t>a dle</w:t>
      </w:r>
      <w:r w:rsidRPr="00866404">
        <w:t xml:space="preserve"> čl. 4.1.2.23 - 4.1.2.28 těchto ZTP proběhne na médiu: </w:t>
      </w:r>
      <w:r w:rsidR="0048438F" w:rsidRPr="00866404">
        <w:rPr>
          <w:b/>
        </w:rPr>
        <w:t>CD</w:t>
      </w:r>
      <w:r w:rsidRPr="00866404">
        <w:rPr>
          <w:b/>
        </w:rPr>
        <w:t xml:space="preserve"> disk</w:t>
      </w:r>
      <w:r w:rsidR="0048438F" w:rsidRPr="00866404">
        <w:rPr>
          <w:rFonts w:eastAsia="Verdana" w:cs="Times New Roman"/>
        </w:rPr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45" w:name="_Toc6410443"/>
      <w:bookmarkStart w:id="46" w:name="_Toc128127587"/>
      <w:r w:rsidRPr="00E77C22">
        <w:t>Silnoproudá technologie včetně DŘT, trakční a energetická zařízení</w:t>
      </w:r>
      <w:bookmarkEnd w:id="45"/>
      <w:bookmarkEnd w:id="46"/>
    </w:p>
    <w:p w14:paraId="2131A0AC" w14:textId="1B41A5EE" w:rsidR="00DF7BAA" w:rsidRPr="00946615" w:rsidRDefault="00D134DD" w:rsidP="00DF7BAA">
      <w:pPr>
        <w:pStyle w:val="Text2-1"/>
        <w:rPr>
          <w:u w:val="single"/>
        </w:rPr>
      </w:pPr>
      <w:r w:rsidRPr="00946615">
        <w:rPr>
          <w:u w:val="single"/>
        </w:rPr>
        <w:t>Osvětlení krytého nástupiště u výpravní budovy</w:t>
      </w:r>
    </w:p>
    <w:p w14:paraId="19C7AC93" w14:textId="24D8457D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Stávající zářivková svítidla umístěná na zastřešení nástupiště u výpravní budovy a přístupu k nástupišti z ul. Nádražní budou demontována a nahrazena novými LED svítidly</w:t>
      </w:r>
      <w:r>
        <w:rPr>
          <w:sz w:val="18"/>
          <w:szCs w:val="18"/>
        </w:rPr>
        <w:t xml:space="preserve"> </w:t>
      </w:r>
      <w:r w:rsidRPr="00D134DD">
        <w:rPr>
          <w:sz w:val="18"/>
          <w:szCs w:val="18"/>
        </w:rPr>
        <w:t>s napájením ve II. třídě el. ochrany, s krytím min. IP 65 a v provedení „</w:t>
      </w:r>
      <w:proofErr w:type="spellStart"/>
      <w:r w:rsidRPr="00D134DD">
        <w:rPr>
          <w:sz w:val="18"/>
          <w:szCs w:val="18"/>
        </w:rPr>
        <w:t>antivandal</w:t>
      </w:r>
      <w:proofErr w:type="spellEnd"/>
      <w:r w:rsidRPr="00D134DD">
        <w:rPr>
          <w:sz w:val="18"/>
          <w:szCs w:val="18"/>
        </w:rPr>
        <w:t xml:space="preserve">“ (IK10). </w:t>
      </w:r>
    </w:p>
    <w:p w14:paraId="1C344E8F" w14:textId="5DDDC3CB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Z konstrukce zastřešení bude také demontován a v rozsahu instalace nahrazen veškerý potřebný pomocný elektromontážní materiál</w:t>
      </w:r>
      <w:r w:rsidR="00AB07E6">
        <w:rPr>
          <w:sz w:val="18"/>
          <w:szCs w:val="18"/>
        </w:rPr>
        <w:t>.</w:t>
      </w:r>
      <w:r w:rsidRPr="00D134DD">
        <w:rPr>
          <w:sz w:val="18"/>
          <w:szCs w:val="18"/>
        </w:rPr>
        <w:t xml:space="preserve"> </w:t>
      </w:r>
    </w:p>
    <w:p w14:paraId="40876950" w14:textId="4FB43D07" w:rsidR="00D134DD" w:rsidRPr="00E77C22" w:rsidRDefault="00D134DD" w:rsidP="00D134DD">
      <w:pPr>
        <w:ind w:left="709"/>
      </w:pPr>
      <w:r w:rsidRPr="00D134DD">
        <w:rPr>
          <w:sz w:val="18"/>
          <w:szCs w:val="18"/>
        </w:rPr>
        <w:t xml:space="preserve">Parametry osvětlení krytého nástupiště </w:t>
      </w:r>
      <w:r w:rsidR="00AB07E6">
        <w:rPr>
          <w:sz w:val="18"/>
          <w:szCs w:val="18"/>
        </w:rPr>
        <w:t>musí odpovídat</w:t>
      </w:r>
      <w:r w:rsidR="00F72D48">
        <w:rPr>
          <w:sz w:val="18"/>
          <w:szCs w:val="18"/>
        </w:rPr>
        <w:t xml:space="preserve"> p</w:t>
      </w:r>
      <w:r w:rsidRPr="00D134DD">
        <w:rPr>
          <w:sz w:val="18"/>
          <w:szCs w:val="18"/>
        </w:rPr>
        <w:t>ředpisu E11 a ČSN EN 12</w:t>
      </w:r>
      <w:r w:rsidR="00AB07E6">
        <w:rPr>
          <w:sz w:val="18"/>
          <w:szCs w:val="18"/>
        </w:rPr>
        <w:t> </w:t>
      </w:r>
      <w:r w:rsidRPr="00D134DD">
        <w:rPr>
          <w:sz w:val="18"/>
          <w:szCs w:val="18"/>
        </w:rPr>
        <w:t>464-</w:t>
      </w:r>
      <w:r w:rsidR="00F72D48">
        <w:rPr>
          <w:sz w:val="18"/>
          <w:szCs w:val="18"/>
        </w:rPr>
        <w:t> </w:t>
      </w:r>
      <w:r w:rsidRPr="00D134DD">
        <w:rPr>
          <w:sz w:val="18"/>
          <w:szCs w:val="18"/>
        </w:rPr>
        <w:t>2</w:t>
      </w:r>
      <w:r w:rsidR="00AB07E6">
        <w:rPr>
          <w:sz w:val="18"/>
          <w:szCs w:val="18"/>
        </w:rPr>
        <w:t>.</w:t>
      </w:r>
      <w:r w:rsidRPr="00D134DD">
        <w:rPr>
          <w:sz w:val="18"/>
          <w:szCs w:val="18"/>
        </w:rPr>
        <w:t xml:space="preserve"> </w:t>
      </w:r>
    </w:p>
    <w:p w14:paraId="1D848CF2" w14:textId="3A63B548" w:rsidR="00D134DD" w:rsidRPr="00946615" w:rsidRDefault="00D134DD" w:rsidP="001E4720">
      <w:pPr>
        <w:pStyle w:val="Text2-1"/>
        <w:rPr>
          <w:u w:val="single"/>
        </w:rPr>
      </w:pPr>
      <w:r w:rsidRPr="00946615">
        <w:rPr>
          <w:u w:val="single"/>
        </w:rPr>
        <w:lastRenderedPageBreak/>
        <w:t>Osvětlení v podchodu a na schodištích</w:t>
      </w:r>
    </w:p>
    <w:p w14:paraId="4D76ACEE" w14:textId="717E9225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 xml:space="preserve">Stávající svítidla nad schodišti a v podchodu budou demontována včetně napájecích kabelů, instalačních lišt, rohových zákrytových plechů, rozvodných krabic a ostatního souvisejícího materiálu. Jedná se o </w:t>
      </w:r>
      <w:r w:rsidR="00AB07E6">
        <w:rPr>
          <w:sz w:val="18"/>
          <w:szCs w:val="18"/>
        </w:rPr>
        <w:t>svítidla</w:t>
      </w:r>
      <w:r w:rsidRPr="00D134DD">
        <w:rPr>
          <w:sz w:val="18"/>
          <w:szCs w:val="18"/>
        </w:rPr>
        <w:t xml:space="preserve"> na výložnících nad schodišti a liniov</w:t>
      </w:r>
      <w:r w:rsidR="00AB07E6">
        <w:rPr>
          <w:sz w:val="18"/>
          <w:szCs w:val="18"/>
        </w:rPr>
        <w:t xml:space="preserve">á </w:t>
      </w:r>
      <w:r w:rsidRPr="00D134DD">
        <w:rPr>
          <w:sz w:val="18"/>
          <w:szCs w:val="18"/>
        </w:rPr>
        <w:t>svítid</w:t>
      </w:r>
      <w:r w:rsidR="00AB07E6">
        <w:rPr>
          <w:sz w:val="18"/>
          <w:szCs w:val="18"/>
        </w:rPr>
        <w:t xml:space="preserve">la </w:t>
      </w:r>
      <w:r w:rsidRPr="00D134DD">
        <w:rPr>
          <w:sz w:val="18"/>
          <w:szCs w:val="18"/>
        </w:rPr>
        <w:t xml:space="preserve">v podchodu a u výtahů.  </w:t>
      </w:r>
    </w:p>
    <w:p w14:paraId="5CD4F655" w14:textId="0D6FC42A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N</w:t>
      </w:r>
      <w:r w:rsidR="00AB07E6">
        <w:rPr>
          <w:sz w:val="18"/>
          <w:szCs w:val="18"/>
        </w:rPr>
        <w:t xml:space="preserve">ová </w:t>
      </w:r>
      <w:r w:rsidRPr="00D134DD">
        <w:rPr>
          <w:sz w:val="18"/>
          <w:szCs w:val="18"/>
        </w:rPr>
        <w:t>LED svítidla budou v provedení „</w:t>
      </w:r>
      <w:proofErr w:type="spellStart"/>
      <w:r w:rsidRPr="00D134DD">
        <w:rPr>
          <w:sz w:val="18"/>
          <w:szCs w:val="18"/>
        </w:rPr>
        <w:t>antivandal</w:t>
      </w:r>
      <w:proofErr w:type="spellEnd"/>
      <w:r w:rsidRPr="00D134DD">
        <w:rPr>
          <w:sz w:val="18"/>
          <w:szCs w:val="18"/>
        </w:rPr>
        <w:t>“ v robustním hliníkovém těle, které mají mechanickou odolnost IK10 a krytí IP65. Tato svítidla budou vnější konstrukcí totožná s navrženými svítidly pod zastřešením.</w:t>
      </w:r>
    </w:p>
    <w:p w14:paraId="70FB0CD8" w14:textId="77777777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 xml:space="preserve">Svítidla v tubuse podchodu budou usazena v rohových krycích panelech z oceli s průzory, čímž dojde k zákrytu jak svítidel, tak i kabelového vedení. </w:t>
      </w:r>
    </w:p>
    <w:p w14:paraId="6A289EDF" w14:textId="475ECFF1" w:rsidR="00D134DD" w:rsidRDefault="00D134DD" w:rsidP="00D134DD">
      <w:pPr>
        <w:ind w:left="709"/>
        <w:rPr>
          <w:rFonts w:cs="Calibri"/>
          <w:sz w:val="24"/>
          <w:szCs w:val="24"/>
        </w:rPr>
      </w:pPr>
      <w:r w:rsidRPr="00D134DD">
        <w:rPr>
          <w:sz w:val="18"/>
          <w:szCs w:val="18"/>
        </w:rPr>
        <w:t xml:space="preserve">Osvětlení schodišť </w:t>
      </w:r>
      <w:r w:rsidR="00AB07E6">
        <w:rPr>
          <w:sz w:val="18"/>
          <w:szCs w:val="18"/>
        </w:rPr>
        <w:t xml:space="preserve">bude </w:t>
      </w:r>
      <w:r w:rsidRPr="00D134DD">
        <w:rPr>
          <w:sz w:val="18"/>
          <w:szCs w:val="18"/>
        </w:rPr>
        <w:t>navrženo liniovými svítidly, která budou osazena na ocelovou konstrukci zastřešení schodiště.</w:t>
      </w:r>
      <w:r w:rsidRPr="00C853C8">
        <w:rPr>
          <w:rFonts w:cs="Calibri"/>
          <w:sz w:val="24"/>
          <w:szCs w:val="24"/>
        </w:rPr>
        <w:t xml:space="preserve"> </w:t>
      </w:r>
    </w:p>
    <w:p w14:paraId="1E2E6EE3" w14:textId="7521D5E8" w:rsidR="00D134DD" w:rsidRPr="00AB07E6" w:rsidRDefault="00AB07E6" w:rsidP="00AB07E6">
      <w:pPr>
        <w:ind w:left="709"/>
        <w:rPr>
          <w:rFonts w:cs="Calibri"/>
          <w:sz w:val="24"/>
          <w:szCs w:val="24"/>
        </w:rPr>
      </w:pPr>
      <w:r w:rsidRPr="00D134DD">
        <w:rPr>
          <w:sz w:val="18"/>
          <w:szCs w:val="18"/>
        </w:rPr>
        <w:t xml:space="preserve">Parametry osvětlení </w:t>
      </w:r>
      <w:r>
        <w:rPr>
          <w:sz w:val="18"/>
          <w:szCs w:val="18"/>
        </w:rPr>
        <w:t>podchodu</w:t>
      </w:r>
      <w:r w:rsidRPr="00D134DD">
        <w:rPr>
          <w:sz w:val="18"/>
          <w:szCs w:val="18"/>
        </w:rPr>
        <w:t xml:space="preserve"> </w:t>
      </w:r>
      <w:r>
        <w:rPr>
          <w:sz w:val="18"/>
          <w:szCs w:val="18"/>
        </w:rPr>
        <w:t>musí odpovídat</w:t>
      </w:r>
      <w:r w:rsidR="00F72D48">
        <w:rPr>
          <w:sz w:val="18"/>
          <w:szCs w:val="18"/>
        </w:rPr>
        <w:t xml:space="preserve"> p</w:t>
      </w:r>
      <w:r w:rsidRPr="00D134DD">
        <w:rPr>
          <w:sz w:val="18"/>
          <w:szCs w:val="18"/>
        </w:rPr>
        <w:t>ředpisu E11 a ČSN EN 12</w:t>
      </w:r>
      <w:r>
        <w:rPr>
          <w:sz w:val="18"/>
          <w:szCs w:val="18"/>
        </w:rPr>
        <w:t> </w:t>
      </w:r>
      <w:r w:rsidRPr="00D134DD">
        <w:rPr>
          <w:sz w:val="18"/>
          <w:szCs w:val="18"/>
        </w:rPr>
        <w:t>464-2</w:t>
      </w:r>
      <w:r>
        <w:rPr>
          <w:sz w:val="18"/>
          <w:szCs w:val="18"/>
        </w:rPr>
        <w:t>.</w:t>
      </w:r>
    </w:p>
    <w:p w14:paraId="639C73F0" w14:textId="19E2C204" w:rsidR="00D134DD" w:rsidRPr="00946615" w:rsidRDefault="00D134DD" w:rsidP="00D134DD">
      <w:pPr>
        <w:pStyle w:val="Text2-1"/>
        <w:rPr>
          <w:u w:val="single"/>
        </w:rPr>
      </w:pPr>
      <w:r w:rsidRPr="00946615">
        <w:rPr>
          <w:u w:val="single"/>
        </w:rPr>
        <w:t>Osvětlení na ostrovním nástupišti</w:t>
      </w:r>
    </w:p>
    <w:p w14:paraId="29D121DD" w14:textId="294B2DB6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Ze sklopných osvětlovacích stožárků</w:t>
      </w:r>
      <w:r w:rsidR="00AB07E6">
        <w:rPr>
          <w:sz w:val="18"/>
          <w:szCs w:val="18"/>
        </w:rPr>
        <w:t xml:space="preserve"> </w:t>
      </w:r>
      <w:r w:rsidRPr="00D134DD">
        <w:rPr>
          <w:sz w:val="18"/>
          <w:szCs w:val="18"/>
        </w:rPr>
        <w:t>budou demontovány připojovací svorkovnice a</w:t>
      </w:r>
      <w:r w:rsidR="00AB07E6">
        <w:rPr>
          <w:sz w:val="18"/>
          <w:szCs w:val="18"/>
        </w:rPr>
        <w:t> </w:t>
      </w:r>
      <w:r w:rsidRPr="00D134DD">
        <w:rPr>
          <w:sz w:val="18"/>
          <w:szCs w:val="18"/>
        </w:rPr>
        <w:t xml:space="preserve">tělesa výbojkových svítidel včetně propojovacích kabelů. Do stožárů budou vloženy nové propojovací kabely a nová výzbroj včetně pojistek umožňující smyčkové zapojení přívodních kabelů. </w:t>
      </w:r>
    </w:p>
    <w:p w14:paraId="570CED08" w14:textId="2D2BDC86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Propojovací kabeláž mezi rozvodnicemi a svítidly bude zhotovena flexibilními měděnými kabely s polyuretanovou izolací vedenou volně uvnitř stožárků zvlášť ke každému svítidlu. Kabely musí disponovat vysokou odolností proti oděru a vysokou ohebností i při nízkých teplotách</w:t>
      </w:r>
      <w:r w:rsidR="00AB07E6">
        <w:rPr>
          <w:sz w:val="18"/>
          <w:szCs w:val="18"/>
        </w:rPr>
        <w:t>.</w:t>
      </w:r>
    </w:p>
    <w:p w14:paraId="25EE2C44" w14:textId="57D89A48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 xml:space="preserve">Dodaná LED svítidla </w:t>
      </w:r>
      <w:r w:rsidR="00AB07E6">
        <w:rPr>
          <w:sz w:val="18"/>
          <w:szCs w:val="18"/>
        </w:rPr>
        <w:t>musí</w:t>
      </w:r>
      <w:r w:rsidRPr="00D134DD">
        <w:rPr>
          <w:sz w:val="18"/>
          <w:szCs w:val="18"/>
        </w:rPr>
        <w:t xml:space="preserve"> umožňovat instalaci na rameno výložníku nebo přímo na osvětlovací stožár. </w:t>
      </w:r>
      <w:r w:rsidR="00AB07E6">
        <w:rPr>
          <w:sz w:val="18"/>
          <w:szCs w:val="18"/>
        </w:rPr>
        <w:t>Svítidla</w:t>
      </w:r>
      <w:r w:rsidRPr="00D134DD">
        <w:rPr>
          <w:sz w:val="18"/>
          <w:szCs w:val="18"/>
        </w:rPr>
        <w:t xml:space="preserve"> </w:t>
      </w:r>
      <w:r w:rsidR="00AB07E6">
        <w:rPr>
          <w:sz w:val="18"/>
          <w:szCs w:val="18"/>
        </w:rPr>
        <w:t xml:space="preserve">musí splňovat </w:t>
      </w:r>
      <w:r w:rsidRPr="00D134DD">
        <w:rPr>
          <w:sz w:val="18"/>
          <w:szCs w:val="18"/>
        </w:rPr>
        <w:t>krytí IP66 a odolnost vůči mechanickému poškození IK09.</w:t>
      </w:r>
    </w:p>
    <w:p w14:paraId="6160861B" w14:textId="034E9FE0" w:rsidR="00AB07E6" w:rsidRPr="00AB07E6" w:rsidRDefault="00AB07E6" w:rsidP="00AB07E6">
      <w:pPr>
        <w:ind w:left="709"/>
        <w:rPr>
          <w:rFonts w:cs="Calibri"/>
          <w:sz w:val="24"/>
          <w:szCs w:val="24"/>
        </w:rPr>
      </w:pPr>
      <w:r w:rsidRPr="00D134DD">
        <w:rPr>
          <w:sz w:val="18"/>
          <w:szCs w:val="18"/>
        </w:rPr>
        <w:t>Parametry osvětlení</w:t>
      </w:r>
      <w:r w:rsidR="00F72D48">
        <w:rPr>
          <w:sz w:val="18"/>
          <w:szCs w:val="18"/>
        </w:rPr>
        <w:t xml:space="preserve"> nástupiště</w:t>
      </w:r>
      <w:r w:rsidRPr="00D134DD">
        <w:rPr>
          <w:sz w:val="18"/>
          <w:szCs w:val="18"/>
        </w:rPr>
        <w:t xml:space="preserve"> </w:t>
      </w:r>
      <w:r>
        <w:rPr>
          <w:sz w:val="18"/>
          <w:szCs w:val="18"/>
        </w:rPr>
        <w:t>musí odpovídat</w:t>
      </w:r>
      <w:r w:rsidR="00F72D48">
        <w:rPr>
          <w:sz w:val="18"/>
          <w:szCs w:val="18"/>
        </w:rPr>
        <w:t xml:space="preserve"> p</w:t>
      </w:r>
      <w:r w:rsidRPr="00D134DD">
        <w:rPr>
          <w:sz w:val="18"/>
          <w:szCs w:val="18"/>
        </w:rPr>
        <w:t>ředpisu E11 a ČSN EN 12</w:t>
      </w:r>
      <w:r>
        <w:rPr>
          <w:sz w:val="18"/>
          <w:szCs w:val="18"/>
        </w:rPr>
        <w:t> </w:t>
      </w:r>
      <w:r w:rsidRPr="00D134DD">
        <w:rPr>
          <w:sz w:val="18"/>
          <w:szCs w:val="18"/>
        </w:rPr>
        <w:t>464-2</w:t>
      </w:r>
      <w:r>
        <w:rPr>
          <w:sz w:val="18"/>
          <w:szCs w:val="18"/>
        </w:rPr>
        <w:t>.</w:t>
      </w:r>
    </w:p>
    <w:p w14:paraId="7557FC41" w14:textId="7D1426F0" w:rsidR="00D134DD" w:rsidRPr="00946615" w:rsidRDefault="00D134DD" w:rsidP="00D134DD">
      <w:pPr>
        <w:pStyle w:val="Text2-1"/>
        <w:rPr>
          <w:u w:val="single"/>
        </w:rPr>
      </w:pPr>
      <w:r w:rsidRPr="00946615">
        <w:rPr>
          <w:u w:val="single"/>
        </w:rPr>
        <w:t xml:space="preserve">Osvětlení staničních kolejí </w:t>
      </w:r>
      <w:r w:rsidR="00F72D48" w:rsidRPr="00946615">
        <w:rPr>
          <w:u w:val="single"/>
        </w:rPr>
        <w:t>nástupiště</w:t>
      </w:r>
      <w:r w:rsidRPr="00946615">
        <w:rPr>
          <w:u w:val="single"/>
        </w:rPr>
        <w:t>, na trakčních branách a stožárech</w:t>
      </w:r>
    </w:p>
    <w:p w14:paraId="569FD4EA" w14:textId="0DE23E0A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Stávající osvětlení staničních kolejí a nástupišť je provedeno výbojkovými svítidly umístěnými na stožárech a branách trakčního vedení ve výšce 10-14m. Připojení svítidel je přes rozvodnice s jistícími prvky. Z těchto rozvodnic jsou vyvedeny kabely k jednotlivým svítidlům.</w:t>
      </w:r>
    </w:p>
    <w:p w14:paraId="4CB7F00C" w14:textId="4C52B31B" w:rsidR="00D134DD" w:rsidRPr="00D134DD" w:rsidRDefault="00D134DD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 xml:space="preserve">Výbojková svítidla na stožárech a branách TV budou demontována a nahrazena stejným počtem LED svítidel v provedení ochrany el. zařízení třídy II. Stožárové rozvodnice budou vyměněny, včetně příslušného počtu pojistkových vložek. Sestavy kabelových vedení od svorkovnic ke svítidlům a kabelová vedení v trubkách po břevnech bran TV budou nahrazena odpovídajícím materiálem dle typových sestav „K“. Veškerý materiál musí být odolný proti UV záření a proti působení povětrnostních vlivů. K přichycení ochranných trubek budou požity nerezové stahovací pásky. </w:t>
      </w:r>
    </w:p>
    <w:p w14:paraId="70326A5D" w14:textId="12C04EC2" w:rsidR="00D134DD" w:rsidRPr="00D134DD" w:rsidRDefault="00F72D48" w:rsidP="00D134DD">
      <w:pPr>
        <w:ind w:left="709"/>
        <w:rPr>
          <w:sz w:val="18"/>
          <w:szCs w:val="18"/>
        </w:rPr>
      </w:pPr>
      <w:r w:rsidRPr="00D134DD">
        <w:rPr>
          <w:sz w:val="18"/>
          <w:szCs w:val="18"/>
        </w:rPr>
        <w:t>Parametry osvětlení</w:t>
      </w:r>
      <w:r>
        <w:rPr>
          <w:sz w:val="18"/>
          <w:szCs w:val="18"/>
        </w:rPr>
        <w:t xml:space="preserve"> staničních kolejí nástupiště a staničních kolejí mimo nástupiště</w:t>
      </w:r>
      <w:r w:rsidRPr="00D134DD">
        <w:rPr>
          <w:sz w:val="18"/>
          <w:szCs w:val="18"/>
        </w:rPr>
        <w:t xml:space="preserve"> </w:t>
      </w:r>
      <w:r>
        <w:rPr>
          <w:sz w:val="18"/>
          <w:szCs w:val="18"/>
        </w:rPr>
        <w:t>musí odpovídat p</w:t>
      </w:r>
      <w:r w:rsidRPr="00D134DD">
        <w:rPr>
          <w:sz w:val="18"/>
          <w:szCs w:val="18"/>
        </w:rPr>
        <w:t>ředpisu E11 a ČSN EN 12</w:t>
      </w:r>
      <w:r>
        <w:rPr>
          <w:sz w:val="18"/>
          <w:szCs w:val="18"/>
        </w:rPr>
        <w:t> </w:t>
      </w:r>
      <w:r w:rsidRPr="00D134DD">
        <w:rPr>
          <w:sz w:val="18"/>
          <w:szCs w:val="18"/>
        </w:rPr>
        <w:t>464-2</w:t>
      </w:r>
      <w:r>
        <w:rPr>
          <w:sz w:val="18"/>
          <w:szCs w:val="18"/>
        </w:rPr>
        <w:t>.</w:t>
      </w:r>
    </w:p>
    <w:p w14:paraId="3B67C881" w14:textId="77777777" w:rsidR="00DF7BAA" w:rsidRDefault="00DF7BAA" w:rsidP="00DF7BAA">
      <w:pPr>
        <w:pStyle w:val="Nadpis2-2"/>
      </w:pPr>
      <w:bookmarkStart w:id="47" w:name="_Toc128127588"/>
      <w:bookmarkStart w:id="48" w:name="_Toc6410458"/>
      <w:r>
        <w:t>Životní prostředí</w:t>
      </w:r>
      <w:bookmarkEnd w:id="47"/>
      <w:r>
        <w:t xml:space="preserve"> </w:t>
      </w:r>
      <w:bookmarkEnd w:id="48"/>
    </w:p>
    <w:p w14:paraId="0E03E227" w14:textId="63BA41BD" w:rsidR="00067FA3" w:rsidRPr="0073450C" w:rsidRDefault="001860E7" w:rsidP="00722BEB">
      <w:pPr>
        <w:pStyle w:val="Text2-1"/>
        <w:tabs>
          <w:tab w:val="num" w:pos="5076"/>
        </w:tabs>
        <w:rPr>
          <w:rStyle w:val="Tun"/>
          <w:b w:val="0"/>
        </w:rPr>
      </w:pPr>
      <w:r w:rsidRPr="0073450C">
        <w:rPr>
          <w:rStyle w:val="Tun"/>
          <w:b w:val="0"/>
        </w:rPr>
        <w:t xml:space="preserve">Nakládání s odpady </w:t>
      </w:r>
    </w:p>
    <w:p w14:paraId="34EDCA4D" w14:textId="33DA9856" w:rsidR="00E50E94" w:rsidRPr="0073450C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73450C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1F658CE4" w14:textId="0D5914D6" w:rsidR="00384674" w:rsidRPr="0073450C" w:rsidRDefault="00E50E94" w:rsidP="00384674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73450C">
        <w:rPr>
          <w:rStyle w:val="Tun"/>
          <w:b w:val="0"/>
        </w:rPr>
        <w:lastRenderedPageBreak/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9" w:name="_Toc6410460"/>
      <w:bookmarkStart w:id="50" w:name="_Toc128127589"/>
      <w:r w:rsidRPr="00EC2E51">
        <w:t>ORGANIZACE</w:t>
      </w:r>
      <w:r>
        <w:t xml:space="preserve"> VÝSTAVBY, VÝLUKY</w:t>
      </w:r>
      <w:bookmarkEnd w:id="49"/>
      <w:bookmarkEnd w:id="50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597A72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603E97C9" w:rsidR="008B4F46" w:rsidRPr="00597A72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7A72">
              <w:rPr>
                <w:sz w:val="14"/>
              </w:rPr>
              <w:t xml:space="preserve">do </w:t>
            </w:r>
            <w:r w:rsidR="00597A72" w:rsidRPr="00597A72">
              <w:rPr>
                <w:sz w:val="14"/>
              </w:rPr>
              <w:t>14</w:t>
            </w:r>
            <w:r w:rsidRPr="00597A72">
              <w:rPr>
                <w:sz w:val="14"/>
              </w:rPr>
              <w:t xml:space="preserve"> pracovních dnů od účinnosti smlouvy</w:t>
            </w:r>
          </w:p>
          <w:p w14:paraId="5BAE7785" w14:textId="2C4837AD" w:rsidR="00580BF5" w:rsidRPr="00597A72" w:rsidRDefault="008B4F46" w:rsidP="00597A7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97A72">
              <w:rPr>
                <w:sz w:val="14"/>
              </w:rPr>
              <w:t xml:space="preserve">(předpoklad </w:t>
            </w:r>
            <w:r w:rsidR="00597A72" w:rsidRPr="00597A72">
              <w:rPr>
                <w:sz w:val="14"/>
              </w:rPr>
              <w:t>duben</w:t>
            </w:r>
            <w:r w:rsidR="00580BF5" w:rsidRPr="00597A72">
              <w:rPr>
                <w:sz w:val="14"/>
              </w:rPr>
              <w:t xml:space="preserve"> 20</w:t>
            </w:r>
            <w:r w:rsidRPr="00597A72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EC33B52" w:rsidR="00580BF5" w:rsidRPr="00C63CE0" w:rsidRDefault="00597A72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63CE0">
              <w:rPr>
                <w:sz w:val="14"/>
              </w:rPr>
              <w:t>duben</w:t>
            </w:r>
            <w:r w:rsidR="00580BF5" w:rsidRPr="00C63CE0">
              <w:rPr>
                <w:sz w:val="14"/>
              </w:rPr>
              <w:t xml:space="preserve"> </w:t>
            </w:r>
            <w:r w:rsidRPr="00C63CE0">
              <w:rPr>
                <w:sz w:val="14"/>
              </w:rPr>
              <w:t xml:space="preserve">– květen </w:t>
            </w:r>
            <w:r w:rsidR="00580BF5" w:rsidRPr="00C63CE0">
              <w:rPr>
                <w:sz w:val="14"/>
              </w:rPr>
              <w:t>20</w:t>
            </w:r>
            <w:r w:rsidR="008B4F46" w:rsidRPr="00C63CE0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C63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DC0320" w:rsidRDefault="00580BF5" w:rsidP="00580BF5">
            <w:pPr>
              <w:pStyle w:val="Tabulka-7"/>
            </w:pPr>
            <w:r w:rsidRPr="00DC0320">
              <w:t>2. Stavební postup / Etapa</w:t>
            </w:r>
          </w:p>
        </w:tc>
        <w:tc>
          <w:tcPr>
            <w:tcW w:w="3073" w:type="dxa"/>
          </w:tcPr>
          <w:p w14:paraId="786C1D3A" w14:textId="2664E98C" w:rsidR="00580BF5" w:rsidRPr="00C63CE0" w:rsidRDefault="00597A7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CE0">
              <w:t>Výměna osvětlení na TP, JŽ</w:t>
            </w:r>
          </w:p>
        </w:tc>
        <w:tc>
          <w:tcPr>
            <w:tcW w:w="1694" w:type="dxa"/>
            <w:shd w:val="clear" w:color="auto" w:fill="auto"/>
          </w:tcPr>
          <w:p w14:paraId="66AA44B0" w14:textId="54C92016" w:rsidR="00580BF5" w:rsidRPr="00C63CE0" w:rsidRDefault="00C63CE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CE0">
              <w:t>15x 8h (denní)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7B88EF9" w:rsidR="00580BF5" w:rsidRPr="00C63CE0" w:rsidRDefault="00C63CE0" w:rsidP="00DC032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63CE0">
              <w:rPr>
                <w:sz w:val="14"/>
              </w:rPr>
              <w:t>2</w:t>
            </w:r>
            <w:r w:rsidR="00580BF5" w:rsidRPr="00C63CE0">
              <w:rPr>
                <w:sz w:val="14"/>
              </w:rPr>
              <w:t xml:space="preserve">. </w:t>
            </w:r>
            <w:r w:rsidR="00DC0320" w:rsidRPr="00C63CE0">
              <w:rPr>
                <w:sz w:val="14"/>
              </w:rPr>
              <w:t>5. 2023</w:t>
            </w:r>
            <w:r w:rsidR="00580BF5" w:rsidRPr="00C63CE0">
              <w:rPr>
                <w:sz w:val="14"/>
              </w:rPr>
              <w:t xml:space="preserve">– </w:t>
            </w:r>
            <w:r>
              <w:rPr>
                <w:sz w:val="14"/>
              </w:rPr>
              <w:t>23</w:t>
            </w:r>
            <w:r w:rsidR="00580BF5" w:rsidRPr="00C63CE0">
              <w:rPr>
                <w:sz w:val="14"/>
              </w:rPr>
              <w:t xml:space="preserve">. </w:t>
            </w:r>
            <w:r w:rsidR="00DC0320" w:rsidRPr="00C63CE0">
              <w:rPr>
                <w:sz w:val="14"/>
              </w:rPr>
              <w:t>5</w:t>
            </w:r>
            <w:r w:rsidR="00580BF5" w:rsidRPr="00C63CE0">
              <w:rPr>
                <w:sz w:val="14"/>
              </w:rPr>
              <w:t>. 20</w:t>
            </w:r>
            <w:r w:rsidR="008B4F46" w:rsidRPr="00C63CE0">
              <w:rPr>
                <w:sz w:val="14"/>
              </w:rPr>
              <w:t>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DC0320" w:rsidRDefault="00580BF5" w:rsidP="00580BF5">
            <w:pPr>
              <w:pStyle w:val="Tabulka-7"/>
            </w:pPr>
            <w:r w:rsidRPr="00DC0320">
              <w:t>3. Stavební postup / Etapa</w:t>
            </w:r>
          </w:p>
        </w:tc>
        <w:tc>
          <w:tcPr>
            <w:tcW w:w="3073" w:type="dxa"/>
          </w:tcPr>
          <w:p w14:paraId="0A6D9C8C" w14:textId="19C4BBCB" w:rsidR="00580BF5" w:rsidRPr="00DC0320" w:rsidRDefault="00DC032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C0320">
              <w:t>Výměna osvětlení podchod, přístřešek u výpravní budovy</w:t>
            </w:r>
          </w:p>
        </w:tc>
        <w:tc>
          <w:tcPr>
            <w:tcW w:w="1694" w:type="dxa"/>
          </w:tcPr>
          <w:p w14:paraId="2A1B528B" w14:textId="018E4AB0" w:rsidR="00580BF5" w:rsidRPr="007E040C" w:rsidRDefault="00DC032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A0F2BC8" w:rsidR="00580BF5" w:rsidRPr="00C63CE0" w:rsidRDefault="00DC0320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63CE0">
              <w:rPr>
                <w:sz w:val="14"/>
              </w:rPr>
              <w:t>červen</w:t>
            </w:r>
            <w:r w:rsidR="00580BF5" w:rsidRPr="00C63CE0">
              <w:rPr>
                <w:sz w:val="14"/>
              </w:rPr>
              <w:t xml:space="preserve"> 20</w:t>
            </w:r>
            <w:r w:rsidR="008B4F46" w:rsidRPr="00C63CE0">
              <w:rPr>
                <w:sz w:val="14"/>
              </w:rPr>
              <w:t>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181C9E2B" w:rsidR="00580BF5" w:rsidRPr="00C63CE0" w:rsidRDefault="008B4F46" w:rsidP="00DC032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63CE0">
              <w:rPr>
                <w:sz w:val="14"/>
              </w:rPr>
              <w:t xml:space="preserve">do </w:t>
            </w:r>
            <w:r w:rsidR="00DC0320" w:rsidRPr="00C63CE0">
              <w:rPr>
                <w:sz w:val="14"/>
              </w:rPr>
              <w:t xml:space="preserve">4 </w:t>
            </w:r>
            <w:r w:rsidRPr="00C63CE0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875ADB9" w:rsidR="00580BF5" w:rsidRPr="00BC51B8" w:rsidRDefault="008B4F46" w:rsidP="00DC032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C63CE0">
              <w:rPr>
                <w:sz w:val="14"/>
              </w:rPr>
              <w:t xml:space="preserve">do </w:t>
            </w:r>
            <w:r w:rsidR="008F107C">
              <w:rPr>
                <w:sz w:val="14"/>
              </w:rPr>
              <w:t>4</w:t>
            </w:r>
            <w:r w:rsidR="00DC0320" w:rsidRPr="00C63CE0">
              <w:rPr>
                <w:sz w:val="14"/>
              </w:rPr>
              <w:t xml:space="preserve"> </w:t>
            </w:r>
            <w:r w:rsidRPr="00C63CE0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28127590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1A0A7EF0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</w:t>
      </w:r>
      <w:r w:rsidR="00384674">
        <w:rPr>
          <w:spacing w:val="2"/>
        </w:rPr>
        <w:t>-spravy-zeleznic/</w:t>
      </w:r>
      <w:r w:rsidR="00384674">
        <w:rPr>
          <w:spacing w:val="2"/>
        </w:rPr>
        <w:br/>
        <w:t>dokumenty-a-př</w:t>
      </w:r>
      <w:r w:rsidRPr="009B5292">
        <w:rPr>
          <w:spacing w:val="2"/>
        </w:rPr>
        <w:t>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3" w:name="_Toc6410462"/>
      <w:bookmarkStart w:id="54" w:name="_Toc128127591"/>
      <w:r>
        <w:t>PŘÍLOHY</w:t>
      </w:r>
      <w:bookmarkEnd w:id="53"/>
      <w:bookmarkEnd w:id="54"/>
    </w:p>
    <w:p w14:paraId="520CC0CC" w14:textId="553F30ED" w:rsidR="00F66DA9" w:rsidRPr="00DC0320" w:rsidRDefault="00946615" w:rsidP="00F66DA9">
      <w:pPr>
        <w:pStyle w:val="Text2-1"/>
      </w:pPr>
      <w:r w:rsidRPr="00DC0320">
        <w:t>Neobsazeno</w:t>
      </w:r>
    </w:p>
    <w:bookmarkEnd w:id="5"/>
    <w:bookmarkEnd w:id="6"/>
    <w:bookmarkEnd w:id="7"/>
    <w:bookmarkEnd w:id="8"/>
    <w:bookmarkEnd w:id="9"/>
    <w:sectPr w:rsidR="00F66DA9" w:rsidRPr="00DC0320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CBA19" w14:textId="77777777" w:rsidR="00400B1A" w:rsidRDefault="00400B1A" w:rsidP="00962258">
      <w:pPr>
        <w:spacing w:after="0" w:line="240" w:lineRule="auto"/>
      </w:pPr>
      <w:r>
        <w:separator/>
      </w:r>
    </w:p>
  </w:endnote>
  <w:endnote w:type="continuationSeparator" w:id="0">
    <w:p w14:paraId="7C62E23B" w14:textId="77777777" w:rsidR="00400B1A" w:rsidRDefault="00400B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41411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2B76D06" w:rsidR="00F41411" w:rsidRPr="00B8518B" w:rsidRDefault="00F414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0555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055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CAEBC03" w:rsidR="00F41411" w:rsidRDefault="00390555" w:rsidP="003462EB">
          <w:pPr>
            <w:pStyle w:val="Zpatvlevo"/>
          </w:pPr>
          <w:fldSimple w:instr=" STYLEREF  _Název_akce  \* MERGEFORMAT ">
            <w:r w:rsidR="0053506C">
              <w:rPr>
                <w:noProof/>
              </w:rPr>
              <w:t>Oprava osvětlení v žst. Červenka</w:t>
            </w:r>
            <w:r w:rsidR="0053506C">
              <w:rPr>
                <w:noProof/>
              </w:rPr>
              <w:cr/>
            </w:r>
          </w:fldSimple>
          <w:r w:rsidR="00F41411">
            <w:t>Příloha č. 2 b)</w:t>
          </w:r>
          <w:r w:rsidR="00F41411" w:rsidRPr="003462EB">
            <w:t xml:space="preserve"> </w:t>
          </w:r>
        </w:p>
        <w:p w14:paraId="178E0553" w14:textId="1B37D375" w:rsidR="00F41411" w:rsidRPr="003462EB" w:rsidRDefault="00F414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F41411" w:rsidRPr="00614E71" w:rsidRDefault="00F414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41411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C50566D" w:rsidR="00F41411" w:rsidRDefault="00390555" w:rsidP="003B111D">
          <w:pPr>
            <w:pStyle w:val="Zpatvpravo"/>
          </w:pPr>
          <w:fldSimple w:instr=" STYLEREF  _Název_akce  \* MERGEFORMAT ">
            <w:r w:rsidR="0053506C">
              <w:rPr>
                <w:noProof/>
              </w:rPr>
              <w:t>Oprava osvětlení v žst. Červenka</w:t>
            </w:r>
            <w:r w:rsidR="0053506C">
              <w:rPr>
                <w:noProof/>
              </w:rPr>
              <w:cr/>
            </w:r>
          </w:fldSimple>
          <w:r w:rsidR="00F41411">
            <w:t>Příloha č. 2 b)</w:t>
          </w:r>
        </w:p>
        <w:p w14:paraId="5D9BD160" w14:textId="3081E1ED" w:rsidR="00F41411" w:rsidRPr="003462EB" w:rsidRDefault="00F41411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67DA741C" w:rsidR="00F41411" w:rsidRPr="009E09BE" w:rsidRDefault="00F4141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055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0555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41411" w:rsidRPr="00B8518B" w:rsidRDefault="00F414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F41411" w:rsidRPr="00B8518B" w:rsidRDefault="00F41411" w:rsidP="00460660">
    <w:pPr>
      <w:pStyle w:val="Zpat"/>
      <w:rPr>
        <w:sz w:val="2"/>
        <w:szCs w:val="2"/>
      </w:rPr>
    </w:pPr>
  </w:p>
  <w:p w14:paraId="53F277EE" w14:textId="77777777" w:rsidR="00F41411" w:rsidRDefault="00F41411" w:rsidP="00757290">
    <w:pPr>
      <w:pStyle w:val="Zpatvlevo"/>
      <w:rPr>
        <w:rFonts w:cs="Calibri"/>
        <w:szCs w:val="12"/>
      </w:rPr>
    </w:pPr>
  </w:p>
  <w:p w14:paraId="17EFC080" w14:textId="77777777" w:rsidR="00F41411" w:rsidRPr="00460660" w:rsidRDefault="00F414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FAC0" w14:textId="77777777" w:rsidR="00400B1A" w:rsidRDefault="00400B1A" w:rsidP="00962258">
      <w:pPr>
        <w:spacing w:after="0" w:line="240" w:lineRule="auto"/>
      </w:pPr>
      <w:r>
        <w:separator/>
      </w:r>
    </w:p>
  </w:footnote>
  <w:footnote w:type="continuationSeparator" w:id="0">
    <w:p w14:paraId="749234DD" w14:textId="77777777" w:rsidR="00400B1A" w:rsidRDefault="00400B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41411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41411" w:rsidRPr="00B8518B" w:rsidRDefault="00F414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41411" w:rsidRDefault="00F4141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41411" w:rsidRPr="00D6163D" w:rsidRDefault="00F41411" w:rsidP="00FC6389">
          <w:pPr>
            <w:pStyle w:val="Druhdokumentu"/>
          </w:pPr>
        </w:p>
      </w:tc>
    </w:tr>
    <w:tr w:rsidR="00F41411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41411" w:rsidRPr="00B8518B" w:rsidRDefault="00F414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41411" w:rsidRDefault="00F414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41411" w:rsidRPr="00D6163D" w:rsidRDefault="00F41411" w:rsidP="00FC6389">
          <w:pPr>
            <w:pStyle w:val="Druhdokumentu"/>
          </w:pPr>
        </w:p>
      </w:tc>
    </w:tr>
  </w:tbl>
  <w:p w14:paraId="53E85CAA" w14:textId="77777777" w:rsidR="00F41411" w:rsidRPr="00D6163D" w:rsidRDefault="00F41411" w:rsidP="00FC6389">
    <w:pPr>
      <w:pStyle w:val="Zhlav"/>
      <w:rPr>
        <w:sz w:val="8"/>
        <w:szCs w:val="8"/>
      </w:rPr>
    </w:pPr>
  </w:p>
  <w:p w14:paraId="1437D3AE" w14:textId="77777777" w:rsidR="00F41411" w:rsidRPr="00460660" w:rsidRDefault="00F414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6A273E2"/>
    <w:multiLevelType w:val="hybridMultilevel"/>
    <w:tmpl w:val="056C6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D6E52"/>
    <w:multiLevelType w:val="multilevel"/>
    <w:tmpl w:val="3A928750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5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10" w:hanging="960"/>
      </w:pPr>
      <w:rPr>
        <w:rFonts w:hint="default"/>
      </w:rPr>
    </w:lvl>
    <w:lvl w:ilvl="3">
      <w:start w:val="27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402086">
    <w:abstractNumId w:val="9"/>
  </w:num>
  <w:num w:numId="2" w16cid:durableId="2072265209">
    <w:abstractNumId w:val="7"/>
  </w:num>
  <w:num w:numId="3" w16cid:durableId="1618294745">
    <w:abstractNumId w:val="4"/>
  </w:num>
  <w:num w:numId="4" w16cid:durableId="1895434523">
    <w:abstractNumId w:val="10"/>
  </w:num>
  <w:num w:numId="5" w16cid:durableId="1244024339">
    <w:abstractNumId w:val="13"/>
  </w:num>
  <w:num w:numId="6" w16cid:durableId="738791254">
    <w:abstractNumId w:val="5"/>
  </w:num>
  <w:num w:numId="7" w16cid:durableId="13913406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6539042">
    <w:abstractNumId w:val="17"/>
  </w:num>
  <w:num w:numId="9" w16cid:durableId="1421482576">
    <w:abstractNumId w:val="0"/>
  </w:num>
  <w:num w:numId="10" w16cid:durableId="781538782">
    <w:abstractNumId w:val="10"/>
  </w:num>
  <w:num w:numId="11" w16cid:durableId="1399019163">
    <w:abstractNumId w:val="13"/>
  </w:num>
  <w:num w:numId="12" w16cid:durableId="1532257626">
    <w:abstractNumId w:val="16"/>
  </w:num>
  <w:num w:numId="13" w16cid:durableId="1927615145">
    <w:abstractNumId w:val="3"/>
  </w:num>
  <w:num w:numId="14" w16cid:durableId="39981870">
    <w:abstractNumId w:val="5"/>
  </w:num>
  <w:num w:numId="15" w16cid:durableId="333923687">
    <w:abstractNumId w:val="17"/>
  </w:num>
  <w:num w:numId="16" w16cid:durableId="537010029">
    <w:abstractNumId w:val="8"/>
  </w:num>
  <w:num w:numId="17" w16cid:durableId="587080282">
    <w:abstractNumId w:val="12"/>
  </w:num>
  <w:num w:numId="18" w16cid:durableId="1772243653">
    <w:abstractNumId w:val="2"/>
  </w:num>
  <w:num w:numId="19" w16cid:durableId="1346250259">
    <w:abstractNumId w:val="5"/>
  </w:num>
  <w:num w:numId="20" w16cid:durableId="1330788517">
    <w:abstractNumId w:val="5"/>
  </w:num>
  <w:num w:numId="21" w16cid:durableId="907305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129838">
    <w:abstractNumId w:val="15"/>
  </w:num>
  <w:num w:numId="23" w16cid:durableId="461769126">
    <w:abstractNumId w:val="5"/>
  </w:num>
  <w:num w:numId="24" w16cid:durableId="11418081">
    <w:abstractNumId w:val="5"/>
  </w:num>
  <w:num w:numId="25" w16cid:durableId="825366602">
    <w:abstractNumId w:val="14"/>
  </w:num>
  <w:num w:numId="26" w16cid:durableId="1192105567">
    <w:abstractNumId w:val="5"/>
  </w:num>
  <w:num w:numId="27" w16cid:durableId="251818260">
    <w:abstractNumId w:val="5"/>
  </w:num>
  <w:num w:numId="28" w16cid:durableId="2106657046">
    <w:abstractNumId w:val="5"/>
  </w:num>
  <w:num w:numId="29" w16cid:durableId="863592543">
    <w:abstractNumId w:val="1"/>
  </w:num>
  <w:num w:numId="30" w16cid:durableId="903029953">
    <w:abstractNumId w:val="5"/>
  </w:num>
  <w:num w:numId="31" w16cid:durableId="1619604944">
    <w:abstractNumId w:val="5"/>
  </w:num>
  <w:num w:numId="32" w16cid:durableId="776366694">
    <w:abstractNumId w:val="5"/>
  </w:num>
  <w:num w:numId="33" w16cid:durableId="1125927628">
    <w:abstractNumId w:val="5"/>
  </w:num>
  <w:num w:numId="34" w16cid:durableId="1625691753">
    <w:abstractNumId w:val="5"/>
  </w:num>
  <w:num w:numId="35" w16cid:durableId="1813061759">
    <w:abstractNumId w:val="5"/>
  </w:num>
  <w:num w:numId="36" w16cid:durableId="214395357">
    <w:abstractNumId w:val="5"/>
  </w:num>
  <w:num w:numId="37" w16cid:durableId="869151368">
    <w:abstractNumId w:val="5"/>
  </w:num>
  <w:num w:numId="38" w16cid:durableId="2050643014">
    <w:abstractNumId w:val="5"/>
  </w:num>
  <w:num w:numId="39" w16cid:durableId="1324971561">
    <w:abstractNumId w:val="6"/>
  </w:num>
  <w:num w:numId="40" w16cid:durableId="290745593">
    <w:abstractNumId w:val="11"/>
  </w:num>
  <w:num w:numId="41" w16cid:durableId="180342480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1D1F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685D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4674"/>
    <w:rsid w:val="00386FF1"/>
    <w:rsid w:val="00390555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341E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3F76DF"/>
    <w:rsid w:val="00400B1A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38F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149"/>
    <w:rsid w:val="005334A9"/>
    <w:rsid w:val="0053506C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7A72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2AFC"/>
    <w:rsid w:val="00686559"/>
    <w:rsid w:val="00687579"/>
    <w:rsid w:val="0069136C"/>
    <w:rsid w:val="00691D8E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0C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AE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66404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E6D41"/>
    <w:rsid w:val="008F0628"/>
    <w:rsid w:val="008F107C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46615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2AE9"/>
    <w:rsid w:val="00A04D7F"/>
    <w:rsid w:val="00A07078"/>
    <w:rsid w:val="00A0740E"/>
    <w:rsid w:val="00A10D37"/>
    <w:rsid w:val="00A16611"/>
    <w:rsid w:val="00A16D53"/>
    <w:rsid w:val="00A21638"/>
    <w:rsid w:val="00A22B27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07E6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046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6E26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3CE0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022F"/>
    <w:rsid w:val="00CA4259"/>
    <w:rsid w:val="00CB05FC"/>
    <w:rsid w:val="00CB2703"/>
    <w:rsid w:val="00CB3363"/>
    <w:rsid w:val="00CB4991"/>
    <w:rsid w:val="00CB4CF4"/>
    <w:rsid w:val="00CB5676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3747"/>
    <w:rsid w:val="00D0732C"/>
    <w:rsid w:val="00D12130"/>
    <w:rsid w:val="00D12C76"/>
    <w:rsid w:val="00D134DD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660D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0320"/>
    <w:rsid w:val="00DC31D8"/>
    <w:rsid w:val="00DC430B"/>
    <w:rsid w:val="00DC55C8"/>
    <w:rsid w:val="00DC60F1"/>
    <w:rsid w:val="00DD10A4"/>
    <w:rsid w:val="00DD19BE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6A5"/>
    <w:rsid w:val="00E50E94"/>
    <w:rsid w:val="00E513C7"/>
    <w:rsid w:val="00E52130"/>
    <w:rsid w:val="00E52424"/>
    <w:rsid w:val="00E56D2D"/>
    <w:rsid w:val="00E618C4"/>
    <w:rsid w:val="00E67218"/>
    <w:rsid w:val="00E679A6"/>
    <w:rsid w:val="00E70AB8"/>
    <w:rsid w:val="00E720EC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795E"/>
    <w:rsid w:val="00F41411"/>
    <w:rsid w:val="00F4259E"/>
    <w:rsid w:val="00F43984"/>
    <w:rsid w:val="00F439A0"/>
    <w:rsid w:val="00F45607"/>
    <w:rsid w:val="00F4722B"/>
    <w:rsid w:val="00F521B7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D48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068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0F11D6"/>
    <w:rsid w:val="00181940"/>
    <w:rsid w:val="00182DEA"/>
    <w:rsid w:val="001A0BDC"/>
    <w:rsid w:val="001F0177"/>
    <w:rsid w:val="00204520"/>
    <w:rsid w:val="0022554F"/>
    <w:rsid w:val="00256AC1"/>
    <w:rsid w:val="002600D4"/>
    <w:rsid w:val="00290B97"/>
    <w:rsid w:val="002C398B"/>
    <w:rsid w:val="002D74B9"/>
    <w:rsid w:val="002E448E"/>
    <w:rsid w:val="00382E73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453E6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92F56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B91F9-4120-4719-AD1E-9840D3A3F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20</TotalTime>
  <Pages>13</Pages>
  <Words>5147</Words>
  <Characters>30368</Characters>
  <Application>Microsoft Office Word</Application>
  <DocSecurity>0</DocSecurity>
  <Lines>253</Lines>
  <Paragraphs>70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2023-03-09T08:06:00Z</cp:lastPrinted>
  <dcterms:created xsi:type="dcterms:W3CDTF">2023-03-14T08:19:00Z</dcterms:created>
  <dcterms:modified xsi:type="dcterms:W3CDTF">2023-03-15T11:33:00Z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